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13" w:rsidRDefault="00933B8F" w:rsidP="001D4470">
      <w:pPr>
        <w:shd w:val="clear" w:color="auto" w:fill="FFFFFF"/>
        <w:ind w:firstLine="567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2062886</wp:posOffset>
            </wp:positionH>
            <wp:positionV relativeFrom="paragraph">
              <wp:posOffset>-79832</wp:posOffset>
            </wp:positionV>
            <wp:extent cx="1518285" cy="206375"/>
            <wp:effectExtent l="0" t="0" r="5715" b="3175"/>
            <wp:wrapNone/>
            <wp:docPr id="25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20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4470">
        <w:rPr>
          <w:noProof/>
        </w:rPr>
        <w:t xml:space="preserve">    </w:t>
      </w:r>
    </w:p>
    <w:p w:rsidR="00922A5A" w:rsidRDefault="00922A5A" w:rsidP="00922A5A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1"/>
          <w:lang w:val="bg-BG" w:eastAsia="bg-BG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A5C58" wp14:editId="7F254DDE">
                <wp:simplePos x="0" y="0"/>
                <wp:positionH relativeFrom="margin">
                  <wp:posOffset>775411</wp:posOffset>
                </wp:positionH>
                <wp:positionV relativeFrom="paragraph">
                  <wp:posOffset>5410</wp:posOffset>
                </wp:positionV>
                <wp:extent cx="4411065" cy="3175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06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2A5A" w:rsidRPr="005A3B30" w:rsidRDefault="00922A5A" w:rsidP="00922A5A">
                            <w:pPr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AF61E3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ДП „Н</w:t>
                            </w:r>
                            <w:proofErr w:type="spellStart"/>
                            <w:r w:rsidRPr="00AF61E3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ационална</w:t>
                            </w:r>
                            <w:proofErr w:type="spellEnd"/>
                            <w:r w:rsidRPr="00AF61E3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компания</w:t>
                            </w:r>
                            <w:r w:rsidRPr="00AF61E3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Ж</w:t>
                            </w:r>
                            <w:proofErr w:type="spellStart"/>
                            <w:r w:rsidRPr="00AF61E3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елезопътна</w:t>
                            </w:r>
                            <w:proofErr w:type="spellEnd"/>
                            <w:r w:rsidRPr="00AF61E3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F61E3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</w:t>
                            </w:r>
                            <w:r w:rsidRPr="00AF61E3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фраструктура</w:t>
                            </w:r>
                            <w:proofErr w:type="spellEnd"/>
                            <w:r w:rsidRPr="00AF61E3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C2714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28"/>
                                <w:szCs w:val="28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инфраструктура</w:t>
                            </w:r>
                            <w:r w:rsidRPr="005A3B30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ЕЛЕЗОПЪТНА ИНФРАСТРУКТУРА</w:t>
                            </w:r>
                            <w:r w:rsidRPr="005A3B30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5A3B30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2A5C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1.05pt;margin-top:.45pt;width:347.35pt;height: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" filled="f" stroked="f">
                <v:textbox>
                  <w:txbxContent>
                    <w:p w:rsidR="00922A5A" w:rsidRPr="005A3B30" w:rsidRDefault="00922A5A" w:rsidP="00922A5A">
                      <w:pPr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AF61E3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ДП „Н</w:t>
                      </w:r>
                      <w:proofErr w:type="spellStart"/>
                      <w:r w:rsidRPr="00AF61E3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ационална</w:t>
                      </w:r>
                      <w:proofErr w:type="spellEnd"/>
                      <w:r w:rsidRPr="00AF61E3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компания</w:t>
                      </w:r>
                      <w:r w:rsidRPr="00AF61E3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Ж</w:t>
                      </w:r>
                      <w:proofErr w:type="spellStart"/>
                      <w:r w:rsidRPr="00AF61E3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елезопътна</w:t>
                      </w:r>
                      <w:proofErr w:type="spellEnd"/>
                      <w:r w:rsidRPr="00AF61E3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F61E3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</w:t>
                      </w:r>
                      <w:r w:rsidRPr="00AF61E3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фраструктура</w:t>
                      </w:r>
                      <w:proofErr w:type="spellEnd"/>
                      <w:r w:rsidRPr="00AF61E3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C2714B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28"/>
                          <w:szCs w:val="28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инфраструктура</w:t>
                      </w:r>
                      <w:r w:rsidRPr="005A3B30"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ЕЛЕЗОПЪТНА ИНФРАСТРУКТУРА</w:t>
                      </w:r>
                      <w:r w:rsidRPr="005A3B30"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5A3B30"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B8F" w:rsidRDefault="00933B8F" w:rsidP="00AD66F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bg-BG" w:eastAsia="bg-BG" w:bidi="ar-SA"/>
        </w:rPr>
      </w:pPr>
    </w:p>
    <w:p w:rsidR="00922A5A" w:rsidRDefault="00922A5A" w:rsidP="00AD66F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1"/>
          <w:lang w:val="bg-BG" w:eastAsia="bg-BG" w:bidi="ar-SA"/>
        </w:rPr>
      </w:pPr>
    </w:p>
    <w:p w:rsidR="00AB7305" w:rsidRDefault="00AB7305" w:rsidP="00AD66F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1"/>
          <w:lang w:val="bg-BG" w:eastAsia="bg-BG" w:bidi="ar-SA"/>
        </w:rPr>
      </w:pPr>
    </w:p>
    <w:p w:rsidR="00A5160D" w:rsidRPr="00A5160D" w:rsidRDefault="00527448" w:rsidP="00A5160D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u w:val="single"/>
          <w:lang w:val="bg-BG" w:eastAsia="bg-BG" w:bidi="ar-SA"/>
        </w:rPr>
      </w:pPr>
      <w:r w:rsidRPr="00A5160D"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u w:val="single"/>
          <w:lang w:val="bg-BG" w:eastAsia="bg-BG" w:bidi="ar-SA"/>
        </w:rPr>
        <w:t xml:space="preserve">Главен експерт, </w:t>
      </w:r>
      <w:r w:rsidR="00DB4932"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u w:val="single"/>
          <w:lang w:val="bg-BG" w:eastAsia="bg-BG" w:bidi="ar-SA"/>
        </w:rPr>
        <w:t>подготовка на проекти</w:t>
      </w:r>
    </w:p>
    <w:p w:rsidR="00A5160D" w:rsidRDefault="00A5160D" w:rsidP="00A5160D">
      <w:pPr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lang w:val="en-US"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lang w:val="bg-BG" w:eastAsia="bg-BG" w:bidi="ar-SA"/>
        </w:rPr>
        <w:t xml:space="preserve">в </w:t>
      </w:r>
      <w:r w:rsidR="00527448" w:rsidRPr="00922A5A"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lang w:val="bg-BG" w:eastAsia="bg-BG" w:bidi="ar-SA"/>
        </w:rPr>
        <w:t>дирекция „Стратегическо планиране и инвестиционни проекти</w:t>
      </w:r>
      <w:r w:rsidR="00527448" w:rsidRPr="00922A5A">
        <w:rPr>
          <w:rFonts w:ascii="Times New Roman" w:eastAsia="Times New Roman" w:hAnsi="Times New Roman" w:cs="Times New Roman"/>
          <w:b/>
          <w:bCs/>
          <w:color w:val="002060"/>
          <w:sz w:val="24"/>
          <w:szCs w:val="21"/>
          <w:lang w:val="en-US" w:eastAsia="bg-BG" w:bidi="ar-SA"/>
        </w:rPr>
        <w:t>”</w:t>
      </w:r>
    </w:p>
    <w:p w:rsidR="003576D3" w:rsidRPr="00922A5A" w:rsidRDefault="002B4DAB" w:rsidP="00A5160D">
      <w:pPr>
        <w:jc w:val="center"/>
        <w:rPr>
          <w:color w:val="002060"/>
          <w:lang w:val="bg-BG"/>
        </w:rPr>
      </w:pPr>
      <w:r w:rsidRPr="00922A5A">
        <w:rPr>
          <w:rFonts w:ascii="Times New Roman" w:eastAsia="Times New Roman" w:hAnsi="Times New Roman" w:cs="Times New Roman"/>
          <w:color w:val="002060"/>
          <w:sz w:val="24"/>
          <w:szCs w:val="21"/>
          <w:lang w:val="bg-BG" w:eastAsia="bg-BG" w:bidi="ar-SA"/>
        </w:rPr>
        <w:t>към</w:t>
      </w:r>
      <w:r w:rsidR="00740CBE" w:rsidRPr="00922A5A">
        <w:rPr>
          <w:rFonts w:ascii="Times New Roman" w:eastAsia="Times New Roman" w:hAnsi="Times New Roman" w:cs="Times New Roman"/>
          <w:color w:val="002060"/>
          <w:sz w:val="24"/>
          <w:szCs w:val="21"/>
          <w:lang w:val="bg-BG" w:eastAsia="bg-BG" w:bidi="ar-SA"/>
        </w:rPr>
        <w:t xml:space="preserve"> Централно управление на ДП НКЖИ</w:t>
      </w:r>
    </w:p>
    <w:p w:rsidR="00CD7DBC" w:rsidRPr="00922A5A" w:rsidRDefault="00CD7DBC" w:rsidP="00AD66F9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bg-BG"/>
        </w:rPr>
      </w:pPr>
    </w:p>
    <w:p w:rsidR="003576D3" w:rsidRPr="00A5160D" w:rsidRDefault="003576D3" w:rsidP="00F24D7A">
      <w:pPr>
        <w:ind w:firstLine="709"/>
        <w:rPr>
          <w:rFonts w:ascii="Times New Roman" w:hAnsi="Times New Roman" w:cs="Times New Roman"/>
          <w:b/>
          <w:bCs/>
          <w:color w:val="002060"/>
          <w:sz w:val="24"/>
          <w:szCs w:val="24"/>
          <w:lang w:val="bg-BG"/>
        </w:rPr>
      </w:pPr>
      <w:r w:rsidRPr="00A5160D">
        <w:rPr>
          <w:rFonts w:ascii="Times New Roman" w:hAnsi="Times New Roman" w:cs="Times New Roman"/>
          <w:b/>
          <w:bCs/>
          <w:color w:val="002060"/>
          <w:sz w:val="24"/>
          <w:szCs w:val="24"/>
          <w:lang w:val="bg-BG"/>
        </w:rPr>
        <w:t>Основни отговорности:</w:t>
      </w:r>
    </w:p>
    <w:p w:rsidR="00DB4932" w:rsidRPr="00DB4932" w:rsidRDefault="00DB4932" w:rsidP="00DB4932">
      <w:pPr>
        <w:tabs>
          <w:tab w:val="center" w:pos="4536"/>
        </w:tabs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DB4932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1. Подпомага и организира подготовката и ежедневното управление на дейностите на външни консултанти, участващи в подготовката на проектите, както и управлението на техните договори за услуги, съфинансирани от ЕФСУ, МФИ и други източници на финансиране;</w:t>
      </w:r>
    </w:p>
    <w:p w:rsidR="00DB4932" w:rsidRPr="00DB4932" w:rsidRDefault="00DB4932" w:rsidP="00DB4932">
      <w:pPr>
        <w:tabs>
          <w:tab w:val="center" w:pos="4536"/>
        </w:tabs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DB4932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2. Подпомага взаимодействието и координирането на дейностите между ДП НКЖИ и външните ведомства, организации и фирми, свързани с подготовката и изпълнението на проектите;</w:t>
      </w:r>
    </w:p>
    <w:p w:rsidR="00DB4932" w:rsidRPr="00DB4932" w:rsidRDefault="00DB4932" w:rsidP="00DB4932">
      <w:pPr>
        <w:tabs>
          <w:tab w:val="center" w:pos="4536"/>
        </w:tabs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DB4932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3. Спазва плановете за развитие и вътрешните процедури на ДП НКЖИ, действащото национално законодателство, съответните регламенти на ЕС и решения на съответните национални органи и институции за всички дейности и документи по отношение на подготовката на проекта;</w:t>
      </w:r>
    </w:p>
    <w:p w:rsidR="00DB4932" w:rsidRPr="00DB4932" w:rsidRDefault="00DB4932" w:rsidP="00DB4932">
      <w:pPr>
        <w:tabs>
          <w:tab w:val="center" w:pos="4536"/>
        </w:tabs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DB4932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4. Подпомага управлението на проектите и контролира изпълнението индикаторите на проектите, посочени във Формуляра за кандидатстване и Договора за безвъзмездна финансова помощ;</w:t>
      </w:r>
    </w:p>
    <w:p w:rsidR="00DB4932" w:rsidRPr="00DB4932" w:rsidRDefault="00DB4932" w:rsidP="00DB4932">
      <w:pPr>
        <w:tabs>
          <w:tab w:val="center" w:pos="4536"/>
        </w:tabs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DB4932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5. Следи за сроковете на текущите задачи във връзка с кореспонденцията по договорите и отговаря за организацията на срещи и с другите структурни единици и институции;</w:t>
      </w:r>
    </w:p>
    <w:p w:rsidR="00DB4932" w:rsidRPr="00DB4932" w:rsidRDefault="00DB4932" w:rsidP="00DB4932">
      <w:pPr>
        <w:tabs>
          <w:tab w:val="center" w:pos="4536"/>
        </w:tabs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DB4932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6. Следи за изпълнението на плана за осигуряване на качеството;</w:t>
      </w:r>
    </w:p>
    <w:p w:rsidR="00DB4932" w:rsidRPr="00DB4932" w:rsidRDefault="00DB4932" w:rsidP="00DB4932">
      <w:pPr>
        <w:tabs>
          <w:tab w:val="center" w:pos="4536"/>
        </w:tabs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DB4932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7. Изготвя отчети, справки, информации, отговори на въпроси, жалби и др. свързани с договорите и дейностите по подготовка и изпълнение на проектите;</w:t>
      </w:r>
    </w:p>
    <w:p w:rsidR="00DB4932" w:rsidRPr="00DB4932" w:rsidRDefault="00DB4932" w:rsidP="00DB4932">
      <w:pPr>
        <w:tabs>
          <w:tab w:val="center" w:pos="4536"/>
        </w:tabs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DB4932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8. Води, съхранява и архивира цялата кореспонденция и документация свързана с проектите;</w:t>
      </w:r>
    </w:p>
    <w:p w:rsidR="00527448" w:rsidRPr="00922A5A" w:rsidRDefault="00DB4932" w:rsidP="00DB4932">
      <w:pPr>
        <w:tabs>
          <w:tab w:val="center" w:pos="4536"/>
        </w:tabs>
        <w:ind w:firstLine="709"/>
        <w:jc w:val="both"/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bg-BG"/>
        </w:rPr>
      </w:pPr>
      <w:r w:rsidRPr="00DB4932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9. Подпомага дейността и спазва мерките за публичност и прозрачност, съгласно изискванията на съответните програмни документи на ЕС и другите финансиращи институции.</w:t>
      </w:r>
    </w:p>
    <w:p w:rsidR="00C51540" w:rsidRDefault="00C51540" w:rsidP="00A5160D">
      <w:pPr>
        <w:tabs>
          <w:tab w:val="center" w:pos="4536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bg-BG"/>
        </w:rPr>
      </w:pPr>
    </w:p>
    <w:p w:rsidR="00826D1D" w:rsidRPr="00922A5A" w:rsidRDefault="00A5160D" w:rsidP="00A5160D">
      <w:pPr>
        <w:tabs>
          <w:tab w:val="center" w:pos="4536"/>
        </w:tabs>
        <w:jc w:val="center"/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bg-BG"/>
        </w:rPr>
        <w:t>Ако имате</w:t>
      </w:r>
    </w:p>
    <w:p w:rsidR="00DB4932" w:rsidRDefault="00826D1D" w:rsidP="00A5160D">
      <w:pPr>
        <w:tabs>
          <w:tab w:val="left" w:pos="1418"/>
          <w:tab w:val="center" w:pos="4536"/>
        </w:tabs>
        <w:jc w:val="center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 w:rsidRPr="00A5160D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висше образование с ОКС „магистър</w:t>
      </w:r>
      <w:r w:rsidRPr="00A5160D">
        <w:rPr>
          <w:rFonts w:ascii="Times New Roman" w:hAnsi="Times New Roman" w:cs="Times New Roman"/>
          <w:bCs/>
          <w:color w:val="002060"/>
          <w:sz w:val="24"/>
          <w:szCs w:val="24"/>
          <w:lang w:val="en-US"/>
        </w:rPr>
        <w:t>”</w:t>
      </w:r>
      <w:r w:rsidR="00DB4932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,</w:t>
      </w:r>
      <w:r w:rsidR="00A5160D" w:rsidRPr="00A5160D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 xml:space="preserve"> </w:t>
      </w:r>
      <w:r w:rsidR="00DB4932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 xml:space="preserve">в направления Европейски проекти, </w:t>
      </w:r>
    </w:p>
    <w:p w:rsidR="00826D1D" w:rsidRPr="00922A5A" w:rsidRDefault="00DB4932" w:rsidP="00A5160D">
      <w:pPr>
        <w:tabs>
          <w:tab w:val="left" w:pos="1418"/>
          <w:tab w:val="center" w:pos="4536"/>
        </w:tabs>
        <w:jc w:val="center"/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Бизнес администрация, Икономика/Финанси</w:t>
      </w:r>
      <w:r w:rsidR="00A5160D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 xml:space="preserve"> и </w:t>
      </w:r>
      <w:r w:rsidR="00826D1D" w:rsidRPr="00922A5A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професионален опит 3 години</w:t>
      </w:r>
    </w:p>
    <w:p w:rsidR="00826D1D" w:rsidRPr="00A5160D" w:rsidRDefault="00A5160D" w:rsidP="00A5160D">
      <w:pPr>
        <w:tabs>
          <w:tab w:val="center" w:pos="4536"/>
        </w:tabs>
        <w:jc w:val="center"/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bg-BG"/>
        </w:rPr>
      </w:pPr>
      <w:r w:rsidRPr="00A5160D">
        <w:rPr>
          <w:rFonts w:ascii="Times New Roman" w:hAnsi="Times New Roman" w:cs="Times New Roman"/>
          <w:b/>
          <w:color w:val="002060"/>
          <w:sz w:val="24"/>
          <w:szCs w:val="24"/>
          <w:lang w:val="bg-BG"/>
        </w:rPr>
        <w:t>и п</w:t>
      </w:r>
      <w:r w:rsidR="00826D1D" w:rsidRPr="00A5160D">
        <w:rPr>
          <w:rFonts w:ascii="Times New Roman" w:hAnsi="Times New Roman" w:cs="Times New Roman"/>
          <w:b/>
          <w:color w:val="002060"/>
          <w:sz w:val="24"/>
          <w:szCs w:val="24"/>
          <w:lang w:val="bg-BG"/>
        </w:rPr>
        <w:t>олзвате</w:t>
      </w:r>
      <w:r w:rsidR="00826D1D" w:rsidRPr="00A5160D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bg-BG"/>
        </w:rPr>
        <w:t xml:space="preserve"> </w:t>
      </w:r>
      <w:r w:rsidR="00826D1D" w:rsidRPr="00A5160D">
        <w:rPr>
          <w:rFonts w:ascii="Times New Roman" w:hAnsi="Times New Roman" w:cs="Times New Roman"/>
          <w:bCs/>
          <w:color w:val="002060"/>
          <w:sz w:val="24"/>
          <w:szCs w:val="24"/>
          <w:lang w:val="bg-BG"/>
        </w:rPr>
        <w:t>английски език</w:t>
      </w:r>
      <w:bookmarkStart w:id="0" w:name="_GoBack"/>
      <w:bookmarkEnd w:id="0"/>
    </w:p>
    <w:p w:rsidR="00826D1D" w:rsidRPr="00922A5A" w:rsidRDefault="00826D1D" w:rsidP="00826D1D">
      <w:pPr>
        <w:tabs>
          <w:tab w:val="center" w:pos="4536"/>
        </w:tabs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bg-BG"/>
        </w:rPr>
      </w:pPr>
      <w:r w:rsidRPr="00922A5A">
        <w:rPr>
          <w:noProof/>
          <w:color w:val="002060"/>
        </w:rPr>
        <w:drawing>
          <wp:anchor distT="0" distB="0" distL="114300" distR="114300" simplePos="0" relativeHeight="251656192" behindDoc="1" locked="0" layoutInCell="1" allowOverlap="1" wp14:anchorId="2ADB152D" wp14:editId="31C81A64">
            <wp:simplePos x="0" y="0"/>
            <wp:positionH relativeFrom="column">
              <wp:posOffset>1486103</wp:posOffset>
            </wp:positionH>
            <wp:positionV relativeFrom="paragraph">
              <wp:posOffset>175260</wp:posOffset>
            </wp:positionV>
            <wp:extent cx="474980" cy="491490"/>
            <wp:effectExtent l="0" t="0" r="1270" b="3810"/>
            <wp:wrapTight wrapText="bothSides">
              <wp:wrapPolygon edited="0">
                <wp:start x="0" y="0"/>
                <wp:lineTo x="0" y="20930"/>
                <wp:lineTo x="20791" y="20930"/>
                <wp:lineTo x="20791" y="0"/>
                <wp:lineTo x="0" y="0"/>
              </wp:wrapPolygon>
            </wp:wrapTight>
            <wp:docPr id="2" name="Картина 2" descr="Плоская иконка Резюме CV Управление бизнесом Значок документа Векторная  иллюстрация | Премиум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оская иконка Резюме CV Управление бизнесом Значок документа Векторная  иллюстрация | Премиум векто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D1D" w:rsidRDefault="00826D1D" w:rsidP="00826D1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24"/>
          <w:szCs w:val="21"/>
          <w:lang w:val="bg-BG" w:eastAsia="bg-BG"/>
        </w:rPr>
      </w:pPr>
      <w:r w:rsidRPr="003D6A06">
        <w:rPr>
          <w:i/>
          <w:iCs/>
          <w:noProof/>
          <w:color w:val="1F4E79" w:themeColor="accent1" w:themeShade="80"/>
        </w:rPr>
        <w:drawing>
          <wp:anchor distT="0" distB="0" distL="114300" distR="114300" simplePos="0" relativeHeight="251657216" behindDoc="1" locked="0" layoutInCell="1" allowOverlap="1" wp14:anchorId="64A94D43" wp14:editId="4E05E280">
            <wp:simplePos x="0" y="0"/>
            <wp:positionH relativeFrom="column">
              <wp:posOffset>4411980</wp:posOffset>
            </wp:positionH>
            <wp:positionV relativeFrom="paragraph">
              <wp:posOffset>8255</wp:posOffset>
            </wp:positionV>
            <wp:extent cx="409575" cy="379730"/>
            <wp:effectExtent l="0" t="0" r="9525" b="1270"/>
            <wp:wrapTight wrapText="bothSides">
              <wp:wrapPolygon edited="0">
                <wp:start x="0" y="0"/>
                <wp:lineTo x="0" y="20589"/>
                <wp:lineTo x="21098" y="20589"/>
                <wp:lineTo x="21098" y="0"/>
                <wp:lineTo x="0" y="0"/>
              </wp:wrapPolygon>
            </wp:wrapTight>
            <wp:docPr id="6" name="Картина 6" descr="Нов име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 имей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3068" w:rsidRDefault="00803068" w:rsidP="0080306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4"/>
          <w:szCs w:val="21"/>
          <w:lang w:val="bg-BG" w:eastAsia="bg-BG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shape">
                <w14:fillToRect w14:l="8100000" w14:t="0" w14:r="75000" w14:b="0"/>
              </w14:path>
            </w14:gradFill>
          </w14:textFill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4"/>
          <w:szCs w:val="21"/>
          <w:lang w:val="bg-BG" w:eastAsia="bg-BG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shape">
                <w14:fillToRect w14:l="8100000" w14:t="0" w14:r="75000" w14:b="0"/>
              </w14:path>
            </w14:gradFill>
          </w14:textFill>
        </w:rPr>
        <w:t>Изпратете своето</w:t>
      </w:r>
      <w:r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1"/>
          <w:lang w:val="bg-BG" w:eastAsia="bg-BG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shape">
                <w14:fillToRect w14:l="8100000" w14:t="0" w14:r="75000" w14:b="0"/>
              </w14:path>
            </w14:gradFill>
          </w14:textFill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4"/>
          <w:szCs w:val="21"/>
          <w:lang w:val="bg-BG" w:eastAsia="bg-BG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shape">
                <w14:fillToRect w14:l="8100000" w14:t="0" w14:r="75000" w14:b="0"/>
              </w14:path>
            </w14:gradFill>
          </w14:textFill>
        </w:rPr>
        <w:t>чрез сайта на</w:t>
      </w:r>
      <w:r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4"/>
          <w:szCs w:val="21"/>
          <w:lang w:eastAsia="bg-BG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shape">
                <w14:fillToRect w14:l="8100000" w14:t="0" w14:r="75000" w14:b="0"/>
              </w14:path>
            </w14:gradFill>
          </w14:textFill>
        </w:rPr>
        <w:t xml:space="preserve"> ДП НКЖИ</w:t>
      </w:r>
      <w:r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4"/>
          <w:szCs w:val="21"/>
          <w:lang w:val="bg-BG" w:eastAsia="bg-BG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shape">
                <w14:fillToRect w14:l="8100000" w14:t="0" w14:r="75000" w14:b="0"/>
              </w14:path>
            </w14:gradFill>
          </w14:textFill>
        </w:rPr>
        <w:t xml:space="preserve"> или на</w:t>
      </w:r>
      <w:r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24"/>
          <w:szCs w:val="21"/>
          <w:lang w:val="bg-BG" w:eastAsia="bg-BG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shape">
                <w14:fillToRect w14:l="8100000" w14:t="0" w14:r="75000" w14:b="0"/>
              </w14:path>
            </w14:gradFill>
          </w14:textFill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2E74B5" w:themeColor="accent1" w:themeShade="BF"/>
          <w:sz w:val="24"/>
          <w:szCs w:val="21"/>
          <w:lang w:val="en-US" w:eastAsia="bg-BG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path w14:path="shape">
                <w14:fillToRect w14:l="8100000" w14:t="0" w14:r="75000" w14:b="0"/>
              </w14:path>
            </w14:gradFill>
          </w14:textFill>
        </w:rPr>
        <w:t>jobs@rail-infra.bg</w:t>
      </w:r>
    </w:p>
    <w:p w:rsidR="00803068" w:rsidRDefault="00803068" w:rsidP="00803068">
      <w:pPr>
        <w:tabs>
          <w:tab w:val="center" w:pos="4536"/>
        </w:tabs>
        <w:rPr>
          <w:rFonts w:ascii="Times New Roman" w:hAnsi="Times New Roman" w:cs="Times New Roman"/>
          <w:bCs/>
          <w:i/>
          <w:iCs/>
          <w:color w:val="F18077"/>
          <w:sz w:val="24"/>
          <w:szCs w:val="24"/>
          <w:lang w:val="bg-BG"/>
          <w14:textFill>
            <w14:gradFill>
              <w14:gsLst>
                <w14:gs w14:pos="0">
                  <w14:srgbClr w14:val="92433D">
                    <w14:shade w14:val="30000"/>
                    <w14:satMod w14:val="115000"/>
                  </w14:srgbClr>
                </w14:gs>
                <w14:gs w14:pos="50000">
                  <w14:srgbClr w14:val="D2645B">
                    <w14:shade w14:val="67500"/>
                    <w14:satMod w14:val="115000"/>
                  </w14:srgbClr>
                </w14:gs>
                <w14:gs w14:pos="100000">
                  <w14:srgbClr w14:val="FA786E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 w:rsidR="00826D1D" w:rsidRPr="006E2A09" w:rsidRDefault="00826D1D" w:rsidP="00826D1D">
      <w:pPr>
        <w:tabs>
          <w:tab w:val="center" w:pos="4536"/>
        </w:tabs>
        <w:rPr>
          <w:rFonts w:ascii="Times New Roman" w:hAnsi="Times New Roman" w:cs="Times New Roman"/>
          <w:bCs/>
          <w:i/>
          <w:iCs/>
          <w:color w:val="2F5496" w:themeColor="accent5" w:themeShade="BF"/>
          <w:sz w:val="24"/>
          <w:szCs w:val="24"/>
          <w:lang w:val="bg-BG"/>
        </w:rPr>
      </w:pPr>
    </w:p>
    <w:p w:rsidR="00DE7368" w:rsidRPr="00C35D6F" w:rsidRDefault="00DE7368" w:rsidP="00826D1D">
      <w:pPr>
        <w:tabs>
          <w:tab w:val="center" w:pos="4536"/>
        </w:tabs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en-US" w:eastAsia="bg-BG"/>
        </w:rPr>
      </w:pPr>
    </w:p>
    <w:sectPr w:rsidR="00DE7368" w:rsidRPr="00C35D6F" w:rsidSect="00AB7305">
      <w:pgSz w:w="11906" w:h="16838"/>
      <w:pgMar w:top="1134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913"/>
    <w:multiLevelType w:val="hybridMultilevel"/>
    <w:tmpl w:val="32A8E6BA"/>
    <w:lvl w:ilvl="0" w:tplc="08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3EF24EF"/>
    <w:multiLevelType w:val="hybridMultilevel"/>
    <w:tmpl w:val="2494B7A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EAB3F52"/>
    <w:multiLevelType w:val="hybridMultilevel"/>
    <w:tmpl w:val="2D847916"/>
    <w:lvl w:ilvl="0" w:tplc="0402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8568CB"/>
    <w:multiLevelType w:val="hybridMultilevel"/>
    <w:tmpl w:val="0A9692A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37C00C00"/>
    <w:multiLevelType w:val="hybridMultilevel"/>
    <w:tmpl w:val="1E2258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B733A"/>
    <w:multiLevelType w:val="hybridMultilevel"/>
    <w:tmpl w:val="8DF68482"/>
    <w:lvl w:ilvl="0" w:tplc="7C089F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7303393"/>
    <w:multiLevelType w:val="hybridMultilevel"/>
    <w:tmpl w:val="7566345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F25BB9"/>
    <w:multiLevelType w:val="hybridMultilevel"/>
    <w:tmpl w:val="2F08B1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73F68"/>
    <w:multiLevelType w:val="hybridMultilevel"/>
    <w:tmpl w:val="D640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15545"/>
    <w:multiLevelType w:val="hybridMultilevel"/>
    <w:tmpl w:val="A00EBA52"/>
    <w:lvl w:ilvl="0" w:tplc="08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4846746"/>
    <w:multiLevelType w:val="hybridMultilevel"/>
    <w:tmpl w:val="6B62230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BC5793"/>
    <w:multiLevelType w:val="hybridMultilevel"/>
    <w:tmpl w:val="F9F262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07B3C"/>
    <w:multiLevelType w:val="hybridMultilevel"/>
    <w:tmpl w:val="200016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D401F"/>
    <w:multiLevelType w:val="hybridMultilevel"/>
    <w:tmpl w:val="E45A15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12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D3"/>
    <w:rsid w:val="00002962"/>
    <w:rsid w:val="000C1793"/>
    <w:rsid w:val="00110D62"/>
    <w:rsid w:val="001B3CA0"/>
    <w:rsid w:val="001D4470"/>
    <w:rsid w:val="00261637"/>
    <w:rsid w:val="00283621"/>
    <w:rsid w:val="00286215"/>
    <w:rsid w:val="002B4DAB"/>
    <w:rsid w:val="002B5997"/>
    <w:rsid w:val="002F36EA"/>
    <w:rsid w:val="00302E21"/>
    <w:rsid w:val="003576D3"/>
    <w:rsid w:val="003749B8"/>
    <w:rsid w:val="003B57B1"/>
    <w:rsid w:val="003C35D9"/>
    <w:rsid w:val="00427A3D"/>
    <w:rsid w:val="004475F9"/>
    <w:rsid w:val="004C0A7C"/>
    <w:rsid w:val="004F11C5"/>
    <w:rsid w:val="005015EF"/>
    <w:rsid w:val="00527448"/>
    <w:rsid w:val="00534144"/>
    <w:rsid w:val="005438EA"/>
    <w:rsid w:val="005635A3"/>
    <w:rsid w:val="00584BAB"/>
    <w:rsid w:val="005A243A"/>
    <w:rsid w:val="005B6EB6"/>
    <w:rsid w:val="005E710A"/>
    <w:rsid w:val="00601F5C"/>
    <w:rsid w:val="00624E77"/>
    <w:rsid w:val="006673A9"/>
    <w:rsid w:val="00673BC5"/>
    <w:rsid w:val="006E2864"/>
    <w:rsid w:val="006E4377"/>
    <w:rsid w:val="006F0FCA"/>
    <w:rsid w:val="007119B9"/>
    <w:rsid w:val="00713FE1"/>
    <w:rsid w:val="00740CBE"/>
    <w:rsid w:val="00763B28"/>
    <w:rsid w:val="007956C4"/>
    <w:rsid w:val="007B0FC5"/>
    <w:rsid w:val="007E24CA"/>
    <w:rsid w:val="00803068"/>
    <w:rsid w:val="00826D1D"/>
    <w:rsid w:val="00844951"/>
    <w:rsid w:val="00887AEA"/>
    <w:rsid w:val="008D7BC7"/>
    <w:rsid w:val="008E3E8B"/>
    <w:rsid w:val="00922A5A"/>
    <w:rsid w:val="00933B8F"/>
    <w:rsid w:val="009B0623"/>
    <w:rsid w:val="009C19CF"/>
    <w:rsid w:val="009D62D8"/>
    <w:rsid w:val="00A25E45"/>
    <w:rsid w:val="00A26C13"/>
    <w:rsid w:val="00A5160D"/>
    <w:rsid w:val="00AA6E06"/>
    <w:rsid w:val="00AA734D"/>
    <w:rsid w:val="00AB7305"/>
    <w:rsid w:val="00AC0510"/>
    <w:rsid w:val="00AD66F9"/>
    <w:rsid w:val="00AD6D45"/>
    <w:rsid w:val="00B96CA3"/>
    <w:rsid w:val="00BC03F6"/>
    <w:rsid w:val="00BC2DA0"/>
    <w:rsid w:val="00BD6BAC"/>
    <w:rsid w:val="00BE7964"/>
    <w:rsid w:val="00C2714B"/>
    <w:rsid w:val="00C35D6F"/>
    <w:rsid w:val="00C51540"/>
    <w:rsid w:val="00CB0F7D"/>
    <w:rsid w:val="00CD7DBC"/>
    <w:rsid w:val="00CE1ECF"/>
    <w:rsid w:val="00D0619A"/>
    <w:rsid w:val="00D65F4C"/>
    <w:rsid w:val="00DB4932"/>
    <w:rsid w:val="00DC0326"/>
    <w:rsid w:val="00DE7368"/>
    <w:rsid w:val="00E51F43"/>
    <w:rsid w:val="00E61EE3"/>
    <w:rsid w:val="00E87718"/>
    <w:rsid w:val="00EA5072"/>
    <w:rsid w:val="00EB7EA8"/>
    <w:rsid w:val="00EC7B3F"/>
    <w:rsid w:val="00EF332F"/>
    <w:rsid w:val="00F14DF9"/>
    <w:rsid w:val="00F24D7A"/>
    <w:rsid w:val="00F40146"/>
    <w:rsid w:val="00F97103"/>
    <w:rsid w:val="00FA2709"/>
    <w:rsid w:val="00FA47FC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B10EE-9320-44DB-8CB6-CBCD8966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D3"/>
    <w:pPr>
      <w:spacing w:after="0" w:line="240" w:lineRule="auto"/>
    </w:pPr>
    <w:rPr>
      <w:rFonts w:ascii="Calibri" w:hAnsi="Calibri" w:cs="Calibri"/>
      <w:lang w:eastAsia="en-GB" w:bidi="dz-B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D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34144"/>
    <w:rPr>
      <w:rFonts w:ascii="Segoe UI" w:hAnsi="Segoe UI" w:cs="Segoe UI"/>
      <w:sz w:val="18"/>
      <w:szCs w:val="26"/>
    </w:rPr>
  </w:style>
  <w:style w:type="character" w:customStyle="1" w:styleId="a5">
    <w:name w:val="Изнесен текст Знак"/>
    <w:basedOn w:val="a0"/>
    <w:link w:val="a4"/>
    <w:uiPriority w:val="99"/>
    <w:semiHidden/>
    <w:rsid w:val="00534144"/>
    <w:rPr>
      <w:rFonts w:ascii="Segoe UI" w:hAnsi="Segoe UI" w:cs="Segoe UI"/>
      <w:sz w:val="18"/>
      <w:szCs w:val="26"/>
      <w:lang w:eastAsia="en-GB" w:bidi="dz-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Ilkova</dc:creator>
  <cp:keywords/>
  <dc:description/>
  <cp:lastModifiedBy>Milena Ilkova</cp:lastModifiedBy>
  <cp:revision>38</cp:revision>
  <cp:lastPrinted>2025-05-28T12:32:00Z</cp:lastPrinted>
  <dcterms:created xsi:type="dcterms:W3CDTF">2024-03-18T12:19:00Z</dcterms:created>
  <dcterms:modified xsi:type="dcterms:W3CDTF">2025-06-06T13:02:00Z</dcterms:modified>
</cp:coreProperties>
</file>